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ns0:document xmlns:ns0="http://schemas.openxmlformats.org/wordprocessingml/2006/main" xmlns:ns1="http://schemas.openxmlformats.org/markup-compatibility/2006" xmlns:ns2="http://schemas.openxmlformats.org/officeDocument/2006/relationships" ns1:Ignorable="w14 wp14">
  <ns0:body>
    <ns0:p>
      <ns0:pPr>
        <ns0:pStyle ns0:val="Title"/>
        <ns0:widowControl/>
        <ns0:snapToGrid ns0:val="0"/>
      </ns0:pPr>
      <ns0:r>
        <ns0:rPr>
          <ns0:b ns0:val="0"/>
        </ns0:rPr>
        <ns0:t>Lumos 隐私政策</ns0:t>
      </ns0:r>
    </ns0:p>
    <ns0:p>
      <ns0:pPr>
        <ns0:widowControl/>
        <ns0:snapToGrid ns0:val="0"/>
        <ns0:spacing ns0:after="60"/>
      </ns0:pPr>
      <ns0:r>
        <ns0:rPr>
          <ns0:b ns0:val="0"/>
          <ns0:color ns0:val="555555"/>
        </ns0:rPr>
        <ns0:t>更新日期：2026年10月4日</ns0:t>
      </ns0:r>
    </ns0:p>
    <ns0:p>
      <ns0:pPr>
        <ns0:widowControl/>
        <ns0:snapToGrid ns0:val="0"/>
        <ns0:spacing ns0:after="60"/>
      </ns0:pPr>
      <ns0:r>
        <ns0:rPr>
          <ns0:b ns0:val="0"/>
          <ns0:color ns0:val="555555"/>
        </ns0:rPr>
        <ns0:t>本版本自发布之日起生效。</ns0:t>
      </ns0:r>
    </ns0:p>
    <ns0:p>
      <ns0:pPr>
        <ns0:pStyle ns0:val="Heading1"/>
        <ns0:widowControl/>
        <ns0:snapToGrid ns0:val="0"/>
      </ns0:pPr>
      <ns0:r>
        <ns0:rPr>
          <ns0:b ns0:val="0"/>
        </ns0:rPr>
        <ns0:t>一、我们如何收集和使用您的个人信息</ns0:t>
      </ns0:r>
    </ns0:p>
    <ns0:p>
      <ns0:pPr>
        <ns0:pStyle ns0:val="Heading2"/>
        <ns0:widowControl/>
        <ns0:snapToGrid ns0:val="0"/>
      </ns0:pPr>
      <ns0:r>
        <ns0:rPr>
          <ns0:b ns0:val="0"/>
        </ns0:rPr>
        <ns0:t>1.账号注册与登录</ns0:t>
      </ns0:r>
    </ns0:p>
    <ns0:p>
      <ns0:pPr>
        <ns0:widowControl/>
        <ns0:snapToGrid ns0:val="0"/>
      </ns0:pPr>
      <ns0:r>
        <ns0:rPr>
          <ns0:b ns0:val="0"/>
        </ns0:rPr>
        <ns0:t>为履行国家法律法规关于网络实名制要求，您需要提供手机号码完成注册。</ns0:t>
      </ns0:r>
    </ns0:p>
    <ns0:p>
      <ns0:pPr>
        <ns0:pStyle ns0:val="Heading2"/>
        <ns0:widowControl/>
        <ns0:snapToGrid ns0:val="0"/>
      </ns0:pPr>
      <ns0:r>
        <ns0:rPr>
          <ns0:b ns0:val="0"/>
        </ns0:rPr>
        <ns0:t>2.智能对话服务</ns0:t>
      </ns0:r>
    </ns0:p>
    <ns0:p>
      <ns0:pPr>
        <ns0:widowControl/>
        <ns0:snapToGrid ns0:val="0"/>
      </ns0:pPr>
      <ns0:r>
        <ns0:rPr>
          <ns0:b ns0:val="0"/>
        </ns0:rPr>
        <ns0:t>我们将处理您与 Lumos 交互时输入的内容（包括文本、图片、文件等），用于完成您的任务、提供分析结果，以及按您的选择保存资料和成果。我们仅按任务需要选取上下文，减少无关信息的读取与传输。</ns0:t>
      </ns0:r>
    </ns0:p>
    <ns0:p>
      <ns0:pPr>
        <ns0:pStyle ns0:val="Heading2"/>
        <ns0:widowControl/>
        <ns0:snapToGrid ns0:val="0"/>
      </ns0:pPr>
      <ns0:r>
        <ns0:rPr>
          <ns0:b ns0:val="0"/>
        </ns0:rPr>
        <ns0:t>3.订阅与支付</ns0:t>
      </ns0:r>
    </ns0:p>
    <ns0:p>
      <ns0:pPr>
        <ns0:widowControl/>
        <ns0:snapToGrid ns0:val="0"/>
      </ns0:pPr>
      <ns0:r>
        <ns0:rPr>
          <ns0:b ns0:val="0"/>
        </ns0:rPr>
        <ns0:t>当您订阅付费服务时，我们会收集支付订单和交易信息，以提供下单、支付、客服及售后等服务。</ns0:t>
      </ns0:r>
    </ns0:p>
    <ns0:p>
      <ns0:pPr>
        <ns0:pStyle ns0:val="Heading2"/>
        <ns0:widowControl/>
        <ns0:snapToGrid ns0:val="0"/>
      </ns0:pPr>
      <ns0:r>
        <ns0:rPr>
          <ns0:b ns0:val="0"/>
        </ns0:rPr>
        <ns0:t>4.不用于模型训练</ns0:t>
      </ns0:r>
    </ns0:p>
    <ns0:p>
      <ns0:pPr>
        <ns0:widowControl/>
        <ns0:snapToGrid ns0:val="0"/>
      </ns0:pPr>
      <ns0:r>
        <ns0:rPr>
          <ns0:b ns0:val="0"/>
        </ns0:rPr>
        <ns0:t>Lumos 不将您提交的提示词、上传文档、模型输出、检索资料以及保存在 Lumos 中的企业信息、记忆和成果用于训练或微调模型，也不以去标识化或服务优化为由将其转作训练数据。我们选用不将这些内容用于训练的模型服务。</ns0:t>
      </ns0:r>
    </ns0:p>
    <ns0:p>
      <ns0:pPr>
        <ns0:pStyle ns0:val="Heading1"/>
        <ns0:widowControl/>
        <ns0:snapToGrid ns0:val="0"/>
      </ns0:pPr>
      <ns0:r>
        <ns0:rPr>
          <ns0:b ns0:val="0"/>
        </ns0:rPr>
        <ns0:t>二、我们如何保护您的个人信息</ns0:t>
      </ns0:r>
    </ns0:p>
    <ns0:p>
      <ns0:pPr>
        <ns0:widowControl/>
        <ns0:snapToGrid ns0:val="0"/>
      </ns0:pPr>
      <ns0:r>
        <ns0:rPr>
          <ns0:b ns0:val="0"/>
        </ns0:rPr>
        <ns0:t>我们重视用户的隐私与企业资料保护，遵循</ns0:t>
      </ns0:r>
      <ns0:r>
        <ns0:rPr>
          <ns0:b/>
        </ns0:rPr>
        <ns0:t>能不存就不存、能少拿就少拿、能早点删就早点删</ns0:t>
      </ns0:r>
      <ns0:r>
        <ns0:rPr>
          <ns0:b ns0:val="0"/>
        </ns0:rPr>
        <ns0:t>的原则。除提供服务所必需并按本政策约定委托处理，或依法必须处理的情形外，未经您的许可，我们不会向第三方披露您的个人信息及企业资料。</ns0:t>
      </ns0:r>
    </ns0:p>
    <ns0:p>
      <ns0:pPr>
        <ns0:widowControl/>
        <ns0:snapToGrid ns0:val="0"/>
      </ns0:pPr>
      <ns0:r>
        <ns0:rPr>
          <ns0:b ns0:val="0"/>
        </ns0:rPr>
        <ns0:t>我们通过客户资料隔离、存储与传输加密、权限控制、访问留痕和异常监控保护您的资料。用于检索的向量也按敏感数据管理，纳入隔离、加密和删除策略。审计记录以必要的操作信息为限。这些措施用于降低风险，不代表资料绝不泄露。</ns0:t>
      </ns0:r>
    </ns0:p>
    <ns0:p>
      <ns0:pPr>
        <ns0:widowControl/>
        <ns0:snapToGrid ns0:val="0"/>
      </ns0:pPr>
      <ns0:r>
        <ns0:rPr>
          <ns0:b ns0:val="0"/>
        </ns0:rPr>
        <ns0:t>临时上下文、缓存和运行数据按任务生命周期及时清理；为继续任务保留的状态仍受权限和生命周期控制。您选择保存的资料、记忆和成果用于后续工作，不随一次推理结束而删除；依法必须保留的交易、安全记录及备份按相应必要期限或生命周期受限保存和清理。</ns0:t>
      </ns0:r>
    </ns0:p>
    <ns0:p>
      <ns0:pPr>
        <ns0:pStyle ns0:val="Heading2"/>
        <ns0:widowControl/>
        <ns0:snapToGrid ns0:val="0"/>
      </ns0:pPr>
      <ns0:r>
        <ns0:rPr>
          <ns0:b ns0:val="0"/>
        </ns0:rPr>
        <ns0:t>授权处理反馈与质量优化</ns0:t>
      </ns0:r>
    </ns0:p>
    <ns0:p>
      <ns0:r>
        <ns0:rPr/>
        <ns0:t>仅在您授权的范围内访问相关数据，用于处理您反馈的问题或开展质量优化；质量优化不包括将这些内容用于模型训练。您可以通过产品提供的功能或联系我们改变或撤回授权。处理您发起的任务所需的数据使用及供应商处理，按本政策第一节和本节的供应商说明执行。</ns0:t>
      </ns0:r>
    </ns0:p>
    <ns0:p>
      <ns0:pPr>
        <ns0:pStyle ns0:val="Heading2"/>
        <ns0:widowControl/>
        <ns0:snapToGrid ns0:val="0"/>
      </ns0:pPr>
      <ns0:r>
        <ns0:rPr>
          <ns0:b ns0:val="0"/>
        </ns0:rPr>
        <ns0:t>模型与云服务供应商</ns0:t>
      </ns0:r>
    </ns0:p>
    <ns0:p>
      <ns0:pPr>
        <ns0:widowControl/>
        <ns0:snapToGrid ns0:val="0"/>
      </ns0:pPr>
      <ns0:r>
        <ns0:rPr>
          <ns0:b ns0:val="0"/>
        </ns0:rPr>
        <ns0:t>我们使用 DeepSeek、腾讯云、阿里云百炼等供应商提供的模型、计算、存储或安全服务。Lumos 按任务需要提供相关上下文，模型供应商会处理完成本次推理所需的数据。针对高敏感场景，Lumos 已有零数据留存（ZDR）方案，可约束供应商对一次推理请求中数据的留存。该方案并非所有请求默认启用；供应商、模型、接口、账户、功能、数据范围及人工审阅限制，需在合作前确认。依法必须履行的处理义务除外。</ns0:t>
      </ns0:r>
    </ns0:p>
    <ns0:p>
      <ns0:pPr>
        <ns0:widowControl/>
        <ns0:snapToGrid ns0:val="0"/>
      </ns0:pPr>
      <ns0:r>
        <ns0:rPr>
          <ns0:b ns0:val="0"/>
        </ns0:rPr>
        <ns0:t>供应商的官方安全、隐私与数据保护说明：</ns0:t>
      </ns0:r>
    </ns0:p>
    <ns0:p>
      <ns0:pPr>
        <ns0:pStyle ns0:val="ListBullet"/>
        <ns0:keepLines/>
        <ns0:widowControl/>
        <ns0:snapToGrid ns0:val="0"/>
      </ns0:pPr>
      <ns0:r>
        <ns0:rPr>
          <ns0:b ns0:val="0"/>
        </ns0:rPr>
        <ns0:t>DeepSeek：</ns0:t>
      </ns0:r>
      <ns0:hyperlink ns2:id="rId9">
        <ns0:r>
          <ns0:rPr>
            <ns0:color ns0:val="164A7B"/>
            <ns0:u ns0:val="single"/>
          </ns0:rPr>
          <ns0:t>隐私政策</ns0:t>
        </ns0:r>
      </ns0:hyperlink>
      <ns0:r>
        <ns0:rPr>
          <ns0:b ns0:val="0"/>
        </ns0:rPr>
        <ns0:t>、</ns0:t>
      </ns0:r>
      <ns0:hyperlink ns2:id="rId10">
        <ns0:r>
          <ns0:rPr>
            <ns0:color ns0:val="164A7B"/>
            <ns0:u ns0:val="single"/>
          </ns0:rPr>
          <ns0:t>开放平台服务协议</ns0:t>
        </ns0:r>
      </ns0:hyperlink>
      <ns0:r>
        <ns0:rPr>
          <ns0:b ns0:val="0"/>
        </ns0:rPr>
        <ns0:t>。</ns0:t>
      </ns0:r>
    </ns0:p>
    <ns0:p>
      <ns0:pPr>
        <ns0:pStyle ns0:val="ListBullet"/>
        <ns0:keepLines/>
        <ns0:widowControl/>
        <ns0:snapToGrid ns0:val="0"/>
      </ns0:pPr>
      <ns0:r>
        <ns0:rPr>
          <ns0:b ns0:val="0"/>
        </ns0:rPr>
        <ns0:t>腾讯云：</ns0:t>
      </ns0:r>
      <ns0:hyperlink ns2:id="rId11">
        <ns0:r>
          <ns0:rPr>
            <ns0:color ns0:val="164A7B"/>
            <ns0:u ns0:val="single"/>
          </ns0:rPr>
          <ns0:t>客户数据保护说明</ns0:t>
        </ns0:r>
      </ns0:hyperlink>
      <ns0:r>
        <ns0:rPr>
          <ns0:b ns0:val="0"/>
        </ns0:rPr>
        <ns0:t>、</ns0:t>
      </ns0:r>
      <ns0:hyperlink ns2:id="rId12">
        <ns0:r>
          <ns0:rPr>
            <ns0:color ns0:val="164A7B"/>
            <ns0:u ns0:val="single"/>
          </ns0:rPr>
          <ns0:t>服务协议</ns0:t>
        </ns0:r>
      </ns0:hyperlink>
      <ns0:r>
        <ns0:rPr>
          <ns0:b ns0:val="0"/>
        </ns0:rPr>
        <ns0:t>。</ns0:t>
      </ns0:r>
    </ns0:p>
    <ns0:p>
      <ns0:pPr>
        <ns0:pStyle ns0:val="ListBullet"/>
        <ns0:keepLines/>
        <ns0:widowControl/>
        <ns0:snapToGrid ns0:val="0"/>
      </ns0:pPr>
      <ns0:r>
        <ns0:rPr>
          <ns0:b ns0:val="0"/>
        </ns0:rPr>
        <ns0:t>阿里云百炼：</ns0:t>
      </ns0:r>
      <ns0:hyperlink ns2:id="rId13">
        <ns0:r>
          <ns0:rPr>
            <ns0:color ns0:val="164A7B"/>
            <ns0:u ns0:val="single"/>
          </ns0:rPr>
          <ns0:t>合规资质与隐私说明</ns0:t>
        </ns0:r>
      </ns0:hyperlink>
      <ns0:r>
        <ns0:rPr>
          <ns0:b ns0:val="0"/>
        </ns0:rPr>
        <ns0:t>、</ns0:t>
      </ns0:r>
      <ns0:hyperlink ns2:id="rId14">
        <ns0:r>
          <ns0:rPr>
            <ns0:color ns0:val="164A7B"/>
            <ns0:u ns0:val="single"/>
          </ns0:rPr>
          <ns0:t>服务协议</ns0:t>
        </ns0:r>
      </ns0:hyperlink>
      <ns0:r>
        <ns0:rPr>
          <ns0:b ns0:val="0"/>
        </ns0:rPr>
        <ns0:t>。</ns0:t>
      </ns0:r>
    </ns0:p>
    <ns0:p>
      <ns0:pPr>
        <ns0:widowControl/>
        <ns0:snapToGrid ns0:val="0"/>
      </ns0:pPr>
      <ns0:r>
        <ns0:rPr>
          <ns0:b ns0:val="0"/>
        </ns0:rPr>
        <ns0:t>公开通用政策与 Lumos 适用的专项约定可能不同，上述链接不表示供应商所有产品均默认提供 ZDR 或禁止人工审阅。具体安排以适用的服务协议和合作前确认的范围为准。供应商推理零留存不覆盖您选择保存在 Lumos 中的资料、记忆和成果。</ns0:t>
      </ns0:r>
    </ns0:p>
    <ns0:p>
      <ns0:pPr>
        <ns0:pStyle ns0:val="Heading1"/>
        <ns0:widowControl/>
        <ns0:snapToGrid ns0:val="0"/>
      </ns0:pPr>
      <ns0:r>
        <ns0:rPr>
          <ns0:b ns0:val="0"/>
        </ns0:rPr>
        <ns0:t>三、您如何管理个人信息</ns0:t>
      </ns0:r>
    </ns0:p>
    <ns0:p>
      <ns0:pPr>
        <ns0:widowControl/>
        <ns0:snapToGrid ns0:val="0"/>
      </ns0:pPr>
      <ns0:r>
        <ns0:rPr>
          <ns0:b ns0:val="0"/>
        </ns0:rPr>
        <ns0:t>您可以通过产品提供的功能或联系我们，行使以下权利：</ns0:t>
      </ns0:r>
    </ns0:p>
    <ns0:p>
      <ns0:pPr>
        <ns0:pStyle ns0:val="ListBullet"/>
        <ns0:keepLines/>
        <ns0:widowControl/>
        <ns0:snapToGrid ns0:val="0"/>
      </ns0:pPr>
      <ns0:r>
        <ns0:rPr>
          <ns0:b ns0:val="0"/>
        </ns0:rPr>
        <ns0:t>改变或撤回授权范围</ns0:t>
      </ns0:r>
    </ns0:p>
    <ns0:p>
      <ns0:pPr>
        <ns0:pStyle ns0:val="ListBullet"/>
        <ns0:keepLines/>
        <ns0:widowControl/>
        <ns0:snapToGrid ns0:val="0"/>
      </ns0:pPr>
      <ns0:r>
        <ns0:rPr>
          <ns0:b ns0:val="0"/>
        </ns0:rPr>
        <ns0:t>查阅、复制、更正、补充、删除您的个人信息</ns0:t>
      </ns0:r>
    </ns0:p>
    <ns0:p>
      <ns0:pPr>
        <ns0:pStyle ns0:val="ListBullet"/>
        <ns0:keepLines/>
        <ns0:widowControl/>
        <ns0:snapToGrid ns0:val="0"/>
      </ns0:pPr>
      <ns0:r>
        <ns0:rPr>
          <ns0:b ns0:val="0"/>
        </ns0:rPr>
        <ns0:t>注销账号</ns0:t>
      </ns0:r>
    </ns0:p>
    <ns0:p>
      <ns0:pPr>
        <ns0:pStyle ns0:val="Heading1"/>
        <ns0:widowControl/>
        <ns0:snapToGrid ns0:val="0"/>
      </ns0:pPr>
      <ns0:r>
        <ns0:rPr>
          <ns0:b ns0:val="0"/>
        </ns0:rPr>
        <ns0:t>四、如何联系我们</ns0:t>
      </ns0:r>
    </ns0:p>
    <ns0:p>
      <ns0:pPr>
        <ns0:widowControl/>
        <ns0:snapToGrid ns0:val="0"/>
      </ns0:pPr>
      <ns0:r>
        <ns0:rPr>
          <ns0:b ns0:val="0"/>
        </ns0:rPr>
        <ns0:t>如您对本政策、您的个人信息或供应商数据保护安排有任何疑问或建议，请联系：</ns0:t>
      </ns0:r>
    </ns0:p>
    <ns0:p>
      <ns0:pPr>
        <ns0:widowControl/>
        <ns0:snapToGrid ns0:val="0"/>
      </ns0:pPr>
      <ns0:r>
        <ns0:rPr>
          <ns0:b ns0:val="0"/>
        </ns0:rPr>
        <ns0:t>联系邮箱：</ns0:t>
      </ns0:r>
      <ns0:hyperlink ns2:id="rId15">
        <ns0:r>
          <ns0:rPr>
            <ns0:color ns0:val="164A7B"/>
            <ns0:u ns0:val="single"/>
          </ns0:rPr>
          <ns0:t>support@lumos-meseai.com</ns0:t>
        </ns0:r>
      </ns0:hyperlink>
    </ns0:p>
    <ns0:sectPr ns0:rsidR="00FC693F" ns0:rsidRPr="0006063C" ns0:rsidSect="00034616">
      <ns0:pgSz ns0:w="11906" ns0:h="16838"/>
      <ns0:pgMar ns0:top="1134" ns0:right="1247" ns0:bottom="1134" ns0:left="1247" ns0:header="720" ns0:footer="720" ns0:gutter="0"/>
      <ns0:cols ns0:space="720"/>
      <ns0:docGrid ns0:linePitch="360"/>
    </ns0:sectPr>
  </ns0:body>
</ns0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Noto Sans CJK SC" w:hAnsi="Noto Sans CJK SC" w:eastAsia="Noto Sans CJK SC" w:cs="Noto Sans CJK S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76" w:lineRule="auto"/>
      <w:outlineLvl w:val="0"/>
    </w:pPr>
    <w:rPr>
      <w:rFonts w:ascii="Noto Sans CJK SC" w:hAnsi="Noto Sans CJK SC" w:eastAsia="Noto Sans CJK SC" w:cs="Noto Sans CJK S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 w:line="276" w:lineRule="auto"/>
      <w:outlineLvl w:val="1"/>
    </w:pPr>
    <w:rPr>
      <w:rFonts w:ascii="Noto Sans CJK SC" w:hAnsi="Noto Sans CJK SC" w:eastAsia="Noto Sans CJK SC" w:cs="Noto Sans CJK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Noto Sans CJK SC" w:hAnsi="Noto Sans CJK SC" w:eastAsia="Noto Sans CJK SC" w:cs="Noto Sans CJK S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Noto Sans CJK SC" w:hAnsi="Noto Sans CJK SC" w:eastAsia="Noto Sans CJK SC" w:cs="Noto Sans CJK SC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Noto Sans CJK SC" w:hAnsi="Noto Sans CJK SC" w:eastAsia="Noto Sans CJK SC" w:cs="Noto Sans CJK SC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Noto Sans CJK SC" w:hAnsi="Noto Sans CJK SC" w:eastAsia="Noto Sans CJK SC" w:cs="Noto Sans CJK SC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Noto Sans CJK SC" w:hAnsi="Noto Sans CJK SC" w:eastAsia="Noto Sans CJK SC" w:cs="Noto Sans CJK SC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Noto Sans CJK SC" w:hAnsi="Noto Sans CJK SC" w:eastAsia="Noto Sans CJK SC" w:cs="Noto Sans CJK SC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Noto Sans CJK SC" w:hAnsi="Noto Sans CJK SC" w:eastAsia="Noto Sans CJK SC" w:cs="Noto Sans CJK SC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Noto Sans CJK SC" w:hAnsi="Noto Sans CJK SC" w:eastAsia="Noto Sans CJK SC" w:cs="Noto Sans CJK SC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Noto Sans CJK SC" w:hAnsi="Noto Sans CJK SC" w:eastAsia="Noto Sans CJK SC" w:cs="Noto Sans CJK SC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Noto Sans CJK SC" w:hAnsi="Noto Sans CJK SC" w:eastAsia="Noto Sans CJK SC" w:cs="Noto Sans CJK SC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76" w:lineRule="auto"/>
      <w:contextualSpacing/>
    </w:pPr>
    <w:rPr>
      <w:rFonts w:ascii="Noto Sans CJK SC" w:hAnsi="Noto Sans CJK SC" w:eastAsia="Noto Sans CJK SC" w:cs="Noto Sans CJK SC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Noto Sans CJK SC" w:hAnsi="Noto Sans CJK SC" w:eastAsia="Noto Sans CJK SC" w:cs="Noto Sans CJK SC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Noto Sans CJK SC" w:hAnsi="Noto Sans CJK SC" w:eastAsia="Noto Sans CJK SC" w:cs="Noto Sans CJK SC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Noto Sans CJK SC" w:hAnsi="Noto Sans CJK SC" w:eastAsia="Noto Sans CJK SC" w:cs="Noto Sans CJK SC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76" w:lineRule="auto"/>
      <w:contextualSpacing/>
    </w:pPr>
    <w:rPr>
      <w:rFonts w:ascii="Noto Sans CJK SC" w:hAnsi="Noto Sans CJK SC" w:eastAsia="Noto Sans CJK SC" w:cs="Noto Sans CJK SC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Noto Sans CJK SC" w:hAnsi="Noto Sans CJK SC" w:eastAsia="Noto Sans CJK SC" w:cs="Noto Sans CJK SC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Noto Sans CJK SC" w:hAnsi="Noto Sans CJK SC" w:eastAsia="Noto Sans CJK SC" w:cs="Noto Sans CJK SC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Noto Sans CJK SC" w:hAnsi="Noto Sans CJK SC" w:eastAsia="Noto Sans CJK SC" w:cs="Noto Sans CJK SC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Noto Sans CJK SC" w:hAnsi="Noto Sans CJK SC" w:eastAsia="Noto Sans CJK SC" w:cs="Noto Sans CJK SC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Noto Sans CJK SC" w:hAnsi="Noto Sans CJK SC" w:eastAsia="Noto Sans CJK SC" w:cs="Noto Sans CJK SC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Noto Sans CJK SC" w:hAnsi="Noto Sans CJK SC" w:eastAsia="Noto Sans CJK SC" w:cs="Noto Sans CJK SC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Noto Sans CJK SC" w:hAnsi="Noto Sans CJK SC" w:eastAsia="Noto Sans CJK SC" w:cs="Noto Sans CJK SC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Noto Sans CJK SC" w:hAnsi="Noto Sans CJK SC" w:eastAsia="Noto Sans CJK SC" w:cs="Noto Sans CJK SC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Noto Sans CJK SC" w:hAnsi="Noto Sans CJK SC" w:eastAsia="Noto Sans CJK SC" w:cs="Noto Sans CJK SC"/>
        <w:b/>
        <w:bCs/>
      </w:rPr>
    </w:tblStylePr>
    <w:tblStylePr w:type="lastCol"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Noto Sans CJK SC" w:hAnsi="Noto Sans CJK SC" w:eastAsia="Noto Sans CJK SC" w:cs="Noto Sans CJK SC"/>
        <w:b/>
        <w:bCs/>
      </w:rPr>
    </w:tblStylePr>
    <w:tblStylePr w:type="lastCol"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Noto Sans CJK SC" w:hAnsi="Noto Sans CJK SC" w:eastAsia="Noto Sans CJK SC" w:cs="Noto Sans CJK SC"/>
        <w:b/>
        <w:bCs/>
      </w:rPr>
    </w:tblStylePr>
    <w:tblStylePr w:type="lastCol"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Noto Sans CJK SC" w:hAnsi="Noto Sans CJK SC" w:eastAsia="Noto Sans CJK SC" w:cs="Noto Sans CJK SC"/>
        <w:b/>
        <w:bCs/>
      </w:rPr>
    </w:tblStylePr>
    <w:tblStylePr w:type="lastCol"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Noto Sans CJK SC" w:hAnsi="Noto Sans CJK SC" w:eastAsia="Noto Sans CJK SC" w:cs="Noto Sans CJK SC"/>
        <w:b/>
        <w:bCs/>
      </w:rPr>
    </w:tblStylePr>
    <w:tblStylePr w:type="lastCol"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Noto Sans CJK SC" w:hAnsi="Noto Sans CJK SC" w:eastAsia="Noto Sans CJK SC" w:cs="Noto Sans CJK SC"/>
        <w:b/>
        <w:bCs/>
      </w:rPr>
    </w:tblStylePr>
    <w:tblStylePr w:type="lastCol"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Noto Sans CJK SC" w:hAnsi="Noto Sans CJK SC" w:eastAsia="Noto Sans CJK SC" w:cs="Noto Sans CJK SC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Noto Sans CJK SC" w:hAnsi="Noto Sans CJK SC" w:eastAsia="Noto Sans CJK SC" w:cs="Noto Sans CJK SC"/>
        <w:b/>
        <w:bCs/>
      </w:rPr>
    </w:tblStylePr>
    <w:tblStylePr w:type="lastCol">
      <w:rPr>
        <w:rFonts w:ascii="Noto Sans CJK SC" w:hAnsi="Noto Sans CJK SC" w:eastAsia="Noto Sans CJK SC" w:cs="Noto Sans CJK S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Noto Sans CJK SC" w:hAnsi="Noto Sans CJK SC" w:eastAsia="Noto Sans CJK SC" w:cs="Noto Sans CJK SC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Noto Sans CJK SC" w:hAnsi="Noto Sans CJK SC" w:eastAsia="Noto Sans CJK SC" w:cs="Noto Sans CJK SC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Noto Sans CJK SC" w:hAnsi="Noto Sans CJK SC" w:eastAsia="Noto Sans CJK SC" w:cs="Noto Sans CJK SC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Noto Sans CJK SC" w:hAnsi="Noto Sans CJK SC" w:eastAsia="Noto Sans CJK SC" w:cs="Noto Sans CJK SC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Noto Sans CJK SC" w:hAnsi="Noto Sans CJK SC" w:eastAsia="Noto Sans CJK SC" w:cs="Noto Sans CJK SC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Noto Sans CJK SC" w:hAnsi="Noto Sans CJK SC" w:eastAsia="Noto Sans CJK SC" w:cs="Noto Sans CJK SC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Noto Sans CJK SC" w:hAnsi="Noto Sans CJK SC" w:eastAsia="Noto Sans CJK SC" w:cs="Noto Sans CJK SC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Noto Sans CJK SC" w:hAnsi="Noto Sans CJK SC" w:eastAsia="Noto Sans CJK SC" w:cs="Noto Sans CJK S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cdn.deepseek.com/policies/zh-CN/deepseek-privacy-policy.html" TargetMode="External"/><Relationship Id="rId10" Type="http://schemas.openxmlformats.org/officeDocument/2006/relationships/hyperlink" Target="https://cdn.deepseek.com/policies/zh-CN/deepseek-open-platform-terms-of-service.html" TargetMode="External"/><Relationship Id="rId11" Type="http://schemas.openxmlformats.org/officeDocument/2006/relationships/hyperlink" Target="https://cloud.tencent.com/document/product/301/11471" TargetMode="External"/><Relationship Id="rId12" Type="http://schemas.openxmlformats.org/officeDocument/2006/relationships/hyperlink" Target="https://cloud.tencent.com/document/product/301/1967" TargetMode="External"/><Relationship Id="rId13" Type="http://schemas.openxmlformats.org/officeDocument/2006/relationships/hyperlink" Target="https://help.aliyun.com/zh/model-studio/privacy-notice" TargetMode="External"/><Relationship Id="rId14" Type="http://schemas.openxmlformats.org/officeDocument/2006/relationships/hyperlink" Target="https://terms.alicdn.com/legal-agreement/terms/common_platform_service/20230728213935489/20230728213935489.html" TargetMode="External"/><Relationship Id="rId15" Type="http://schemas.openxmlformats.org/officeDocument/2006/relationships/hyperlink" Target="mailto:support@lumos-mesea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Lumos 隐私政策</dc:title>
  <dc:subject>数据用途与模型及云服务供应商的数据保护要求</dc:subject>
  <dc:creator>Lumos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